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b/>
          <w:sz w:val="32"/>
          <w:szCs w:val="32"/>
        </w:rPr>
      </w:pP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SIMULATION MODELING</w:t>
      </w:r>
    </w:p>
    <w:p>
      <w:pPr>
        <w:pStyle w:val="style0"/>
        <w:jc w:val="center"/>
        <w:rPr>
          <w:sz w:val="32"/>
          <w:szCs w:val="32"/>
        </w:rPr>
      </w:pPr>
    </w:p>
    <w:p>
      <w:pPr>
        <w:pStyle w:val="style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Name of the </w:t>
      </w:r>
      <w:r>
        <w:rPr>
          <w:sz w:val="32"/>
          <w:szCs w:val="32"/>
        </w:rPr>
        <w:t>studen</w:t>
      </w:r>
      <w:r>
        <w:rPr>
          <w:sz w:val="32"/>
          <w:szCs w:val="32"/>
          <w:lang w:val="en-GB"/>
        </w:rPr>
        <w:t>t</w:t>
      </w:r>
    </w:p>
    <w:p>
      <w:pPr>
        <w:pStyle w:val="style0"/>
        <w:jc w:val="center"/>
        <w:rPr>
          <w:sz w:val="32"/>
          <w:szCs w:val="32"/>
        </w:rPr>
      </w:pPr>
    </w:p>
    <w:p>
      <w:pPr>
        <w:pStyle w:val="style0"/>
        <w:jc w:val="center"/>
        <w:rPr>
          <w:sz w:val="32"/>
          <w:szCs w:val="32"/>
        </w:rPr>
      </w:pPr>
      <w:r>
        <w:rPr>
          <w:sz w:val="32"/>
          <w:szCs w:val="32"/>
        </w:rPr>
        <w:t>Name of the university</w:t>
      </w:r>
    </w:p>
    <w:p>
      <w:pPr>
        <w:pStyle w:val="style0"/>
        <w:jc w:val="center"/>
        <w:rPr>
          <w:sz w:val="32"/>
          <w:szCs w:val="32"/>
        </w:rPr>
      </w:pPr>
    </w:p>
    <w:p>
      <w:pPr>
        <w:pStyle w:val="style0"/>
        <w:jc w:val="center"/>
        <w:rPr>
          <w:sz w:val="32"/>
          <w:szCs w:val="32"/>
        </w:rPr>
      </w:pPr>
    </w:p>
    <w:p>
      <w:pPr>
        <w:pStyle w:val="style0"/>
        <w:jc w:val="center"/>
        <w:rPr>
          <w:rFonts w:eastAsia="SimSun"/>
          <w:b/>
          <w:bCs/>
          <w:sz w:val="32"/>
          <w:szCs w:val="32"/>
        </w:rPr>
      </w:pPr>
      <w:r>
        <w:rPr>
          <w:sz w:val="32"/>
          <w:szCs w:val="32"/>
        </w:rPr>
        <w:t>Authors note</w:t>
      </w:r>
    </w:p>
    <w:p>
      <w:pPr>
        <w:pStyle w:val="style0"/>
        <w:spacing w:lineRule="auto" w:line="276"/>
        <w:rPr>
          <w:rFonts w:eastAsia="SimSun"/>
          <w:b/>
          <w:bCs/>
          <w:sz w:val="28"/>
          <w:szCs w:val="28"/>
        </w:rPr>
      </w:pPr>
      <w:r>
        <w:br w:type="page"/>
      </w:r>
    </w:p>
    <w:p>
      <w:pPr>
        <w:pStyle w:val="style266"/>
        <w:jc w:val="center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>Table of Contents</w:t>
      </w:r>
    </w:p>
    <w:p>
      <w:pPr>
        <w:pStyle w:val="style19"/>
        <w:tabs>
          <w:tab w:val="right" w:leader="dot" w:pos="9350"/>
        </w:tabs>
        <w:rPr>
          <w:noProof/>
        </w:rPr>
      </w:pPr>
      <w:r>
        <w:rPr/>
        <w:fldChar w:fldCharType="begin"/>
      </w:r>
      <w:r>
        <w:instrText xml:space="preserve"> TOC \o "1-3" \h \z \u </w:instrText>
      </w:r>
      <w:r>
        <w:rPr/>
        <w:fldChar w:fldCharType="separate"/>
      </w:r>
      <w:r>
        <w:rPr/>
        <w:fldChar w:fldCharType="begin"/>
      </w:r>
      <w:r>
        <w:instrText xml:space="preserve"> HYPERLINK \l "_Toc3826510" </w:instrText>
      </w:r>
      <w:r>
        <w:rPr/>
        <w:fldChar w:fldCharType="separate"/>
      </w:r>
      <w:r>
        <w:rPr>
          <w:rStyle w:val="style85"/>
          <w:noProof/>
        </w:rPr>
        <w:t>Question 1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_Toc3826510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>
        <w:rPr/>
        <w:fldChar w:fldCharType="end"/>
      </w:r>
    </w:p>
    <w:p>
      <w:pPr>
        <w:pStyle w:val="style19"/>
        <w:tabs>
          <w:tab w:val="right" w:leader="dot" w:pos="9350"/>
        </w:tabs>
        <w:rPr>
          <w:noProof/>
        </w:rPr>
      </w:pPr>
      <w:r>
        <w:rPr/>
        <w:fldChar w:fldCharType="begin"/>
      </w:r>
      <w:r>
        <w:instrText xml:space="preserve"> HYPERLINK \l "_Toc3826511" </w:instrText>
      </w:r>
      <w:r>
        <w:rPr/>
        <w:fldChar w:fldCharType="separate"/>
      </w:r>
      <w:r>
        <w:rPr>
          <w:rStyle w:val="style85"/>
          <w:noProof/>
        </w:rPr>
        <w:t>Question 2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_Toc3826511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>
        <w:rPr/>
        <w:fldChar w:fldCharType="end"/>
      </w:r>
    </w:p>
    <w:p>
      <w:pPr>
        <w:pStyle w:val="style19"/>
        <w:tabs>
          <w:tab w:val="right" w:leader="dot" w:pos="9350"/>
        </w:tabs>
        <w:rPr>
          <w:noProof/>
        </w:rPr>
      </w:pPr>
      <w:r>
        <w:rPr/>
        <w:fldChar w:fldCharType="begin"/>
      </w:r>
      <w:r>
        <w:instrText xml:space="preserve"> HYPERLINK \l "_Toc3826512" </w:instrText>
      </w:r>
      <w:r>
        <w:rPr/>
        <w:fldChar w:fldCharType="separate"/>
      </w:r>
      <w:r>
        <w:rPr>
          <w:rStyle w:val="style85"/>
          <w:noProof/>
        </w:rPr>
        <w:t>References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_Toc3826</w:instrText>
      </w:r>
      <w:r>
        <w:rPr>
          <w:noProof/>
          <w:webHidden/>
        </w:rPr>
        <w:instrText xml:space="preserve">512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>
        <w:rPr/>
        <w:fldChar w:fldCharType="end"/>
      </w:r>
    </w:p>
    <w:p>
      <w:pPr>
        <w:pStyle w:val="style0"/>
        <w:rPr/>
      </w:pPr>
      <w:r>
        <w:rPr>
          <w:b/>
          <w:bCs/>
          <w:noProof/>
        </w:rPr>
        <w:fldChar w:fldCharType="end"/>
      </w:r>
    </w:p>
    <w:p>
      <w:pPr>
        <w:pStyle w:val="style0"/>
        <w:spacing w:lineRule="auto" w:line="276"/>
        <w:rPr>
          <w:rFonts w:eastAsia="SimSun"/>
          <w:b/>
          <w:bCs/>
          <w:sz w:val="28"/>
          <w:szCs w:val="28"/>
        </w:rPr>
      </w:pPr>
      <w:r>
        <w:br w:type="page"/>
      </w:r>
    </w:p>
    <w:bookmarkStart w:id="0" w:name="_Toc3826510"/>
    <w:p>
      <w:pPr>
        <w:pStyle w:val="style1"/>
        <w:jc w:val="both"/>
        <w:rPr/>
      </w:pPr>
      <w:r>
        <w:t>Question 1</w:t>
      </w:r>
      <w:bookmarkEnd w:id="0"/>
    </w:p>
    <w:p>
      <w:pPr>
        <w:pStyle w:val="style0"/>
        <w:ind w:firstLine="720"/>
        <w:jc w:val="both"/>
        <w:rPr/>
      </w:pPr>
      <w:r>
        <w:t xml:space="preserve">The simulation </w:t>
      </w:r>
      <w:r>
        <w:t>can be considered</w:t>
      </w:r>
      <w:r>
        <w:t xml:space="preserve"> as </w:t>
      </w:r>
      <w:r>
        <w:rPr>
          <w:noProof/>
        </w:rPr>
        <w:t>approximate</w:t>
      </w:r>
      <w:r>
        <w:t xml:space="preserve"> imitation of the process of the </w:t>
      </w:r>
      <w:r>
        <w:rPr>
          <w:noProof/>
        </w:rPr>
        <w:t>system</w:t>
      </w:r>
      <w:r>
        <w:t xml:space="preserve">. One of the basic areas the process of simulation directly depends is on the model, which has to </w:t>
      </w:r>
      <w:r>
        <w:t>be constructed</w:t>
      </w:r>
      <w:r>
        <w:t xml:space="preserve"> in </w:t>
      </w:r>
      <w:r>
        <w:rPr>
          <w:noProof/>
        </w:rPr>
        <w:t>a proper</w:t>
      </w:r>
      <w:r>
        <w:t xml:space="preserve"> manner. The model directly represents the key areas, which </w:t>
      </w:r>
      <w:r>
        <w:t>would be covered up</w:t>
      </w:r>
      <w:r>
        <w:t xml:space="preserve"> in the model. The main components, which are include</w:t>
      </w:r>
      <w:r>
        <w:t>d in the model, are the key characteristics, physical property and functions (</w:t>
      </w:r>
      <w:r>
        <w:rPr>
          <w:shd w:val="clear" w:color="auto" w:fill="ffffff"/>
        </w:rPr>
        <w:t>Gilbert and Doran, 2018)</w:t>
      </w:r>
      <w:r>
        <w:t xml:space="preserve">. There are different types of protocol and experiment, which </w:t>
      </w:r>
      <w:r>
        <w:t>can be focused</w:t>
      </w:r>
      <w:r>
        <w:t xml:space="preserve"> </w:t>
      </w:r>
      <w:r>
        <w:rPr>
          <w:noProof/>
        </w:rPr>
        <w:t>on</w:t>
      </w:r>
      <w:r>
        <w:t xml:space="preserve"> the domain to detect the functionality of the system. The simulation area </w:t>
      </w:r>
      <w:r>
        <w:t xml:space="preserve">of the real system is one of the important parts, which </w:t>
      </w:r>
      <w:r>
        <w:t>can be stated</w:t>
      </w:r>
      <w:r>
        <w:t xml:space="preserve"> to be playing a significant role in the simulation context. The model in the context refers to the system itself and the simulation directly represents the operation over time. </w:t>
      </w:r>
    </w:p>
    <w:p>
      <w:pPr>
        <w:pStyle w:val="style0"/>
        <w:ind w:firstLine="720"/>
        <w:jc w:val="both"/>
        <w:rPr/>
      </w:pPr>
      <w:r>
        <w:t>The simu</w:t>
      </w:r>
      <w:r>
        <w:t xml:space="preserve">lation system </w:t>
      </w:r>
      <w:r>
        <w:t>can be stated</w:t>
      </w:r>
      <w:r>
        <w:t xml:space="preserve"> at the end as fully dependent on the model so that the overall functionality of the process can be managed and incorporated in the working. </w:t>
      </w:r>
    </w:p>
    <w:bookmarkStart w:id="1" w:name="_Toc3826511"/>
    <w:p>
      <w:pPr>
        <w:pStyle w:val="style1"/>
        <w:jc w:val="both"/>
        <w:rPr/>
      </w:pPr>
      <w:r>
        <w:t>Question 2</w:t>
      </w:r>
      <w:bookmarkEnd w:id="1"/>
    </w:p>
    <w:p>
      <w:pPr>
        <w:pStyle w:val="style0"/>
        <w:ind w:firstLine="360"/>
        <w:jc w:val="both"/>
        <w:rPr/>
      </w:pPr>
      <w:r>
        <w:t xml:space="preserve">There </w:t>
      </w:r>
      <w:r>
        <w:rPr>
          <w:noProof/>
        </w:rPr>
        <w:t>is</w:t>
      </w:r>
      <w:r>
        <w:t xml:space="preserve"> 11 tools and techniques </w:t>
      </w:r>
      <w:r>
        <w:t>category, which</w:t>
      </w:r>
      <w:r>
        <w:t xml:space="preserve"> </w:t>
      </w:r>
      <w:r>
        <w:t>can be seen</w:t>
      </w:r>
      <w:r>
        <w:t xml:space="preserve"> in the policy-ma</w:t>
      </w:r>
      <w:r>
        <w:t xml:space="preserve">king </w:t>
      </w:r>
      <w:r>
        <w:t>areas, which</w:t>
      </w:r>
      <w:r>
        <w:t xml:space="preserve"> are stated and explained below: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b/>
        </w:rPr>
        <w:t>Tessa:</w:t>
      </w:r>
      <w:r>
        <w:t xml:space="preserve"> This tool is directly useful for work at the side scale or across the </w:t>
      </w:r>
      <w:r>
        <w:rPr>
          <w:noProof/>
        </w:rPr>
        <w:t>site</w:t>
      </w:r>
      <w:r>
        <w:t xml:space="preserve">. </w:t>
      </w:r>
      <w:r>
        <w:t>it</w:t>
      </w:r>
      <w:r>
        <w:t xml:space="preserve"> also includes guidance for the </w:t>
      </w:r>
      <w:r>
        <w:rPr>
          <w:noProof/>
        </w:rPr>
        <w:t>stage</w:t>
      </w:r>
      <w:r>
        <w:t xml:space="preserve"> of scoping and area of dull assessment. 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b/>
        </w:rPr>
        <w:t>Aries:</w:t>
      </w:r>
      <w:r>
        <w:t xml:space="preserve"> I</w:t>
      </w:r>
      <w:r>
        <w:t xml:space="preserve">t can be directly be related to the flow and uncertainty area. It covers all the major area of risk, which are involved in the area of working. 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b/>
        </w:rPr>
        <w:t>CEV:</w:t>
      </w:r>
      <w:r>
        <w:t xml:space="preserve"> It aims at the sector of corporate, which directly involves the area of expansion. </w:t>
      </w:r>
    </w:p>
    <w:p>
      <w:pPr>
        <w:pStyle w:val="style179"/>
        <w:numPr>
          <w:ilvl w:val="0"/>
          <w:numId w:val="1"/>
        </w:numPr>
        <w:jc w:val="both"/>
        <w:rPr/>
      </w:pPr>
      <w:r>
        <w:t>Costing nature: It inv</w:t>
      </w:r>
      <w:r>
        <w:t xml:space="preserve">olves rapid analysis of bundled services, which directly help in the domain of planning of the ICT involvement area. 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b/>
        </w:rPr>
        <w:t>EcoAim</w:t>
      </w:r>
      <w:r>
        <w:rPr>
          <w:b/>
        </w:rPr>
        <w:t>:</w:t>
      </w:r>
      <w:r>
        <w:t xml:space="preserve"> It involves a </w:t>
      </w:r>
      <w:r>
        <w:rPr>
          <w:noProof/>
        </w:rPr>
        <w:t>trade</w:t>
      </w:r>
      <w:r>
        <w:t xml:space="preserve"> of maps, which help in the degree of </w:t>
      </w:r>
      <w:r>
        <w:rPr>
          <w:noProof/>
        </w:rPr>
        <w:t>policy-</w:t>
      </w:r>
      <w:r>
        <w:rPr>
          <w:noProof/>
        </w:rPr>
        <w:t>making</w:t>
      </w:r>
      <w:r>
        <w:t xml:space="preserve"> which</w:t>
      </w:r>
      <w:r>
        <w:t xml:space="preserve"> helps in the area of manipulation of the different st</w:t>
      </w:r>
      <w:r>
        <w:t>rategies (</w:t>
      </w:r>
      <w:r>
        <w:rPr>
          <w:shd w:val="clear" w:color="auto" w:fill="ffffff"/>
        </w:rPr>
        <w:t>Cairney</w:t>
      </w:r>
      <w:r>
        <w:rPr>
          <w:shd w:val="clear" w:color="auto" w:fill="ffffff"/>
        </w:rPr>
        <w:t>, 2016)</w:t>
      </w:r>
      <w:r>
        <w:t xml:space="preserve">. 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b/>
        </w:rPr>
        <w:t>Eco Matrix:</w:t>
      </w:r>
      <w:r>
        <w:t xml:space="preserve"> It </w:t>
      </w:r>
      <w:r>
        <w:t>can be considered</w:t>
      </w:r>
      <w:r>
        <w:t xml:space="preserve"> as an area, which is related to the site scale ecosystem service assessment. 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b/>
        </w:rPr>
        <w:t>ESR:</w:t>
      </w:r>
      <w:r>
        <w:t xml:space="preserve"> It involves the policy-making area, which </w:t>
      </w:r>
      <w:r>
        <w:t>is related</w:t>
      </w:r>
      <w:r>
        <w:t xml:space="preserve"> to the involvement of the stakeholders. The service, which </w:t>
      </w:r>
      <w:r>
        <w:t>i</w:t>
      </w:r>
      <w:r>
        <w:t>s generated</w:t>
      </w:r>
      <w:r>
        <w:t xml:space="preserve">, can be altered and directly managed and implemented. 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b/>
        </w:rPr>
        <w:t>Invest:</w:t>
      </w:r>
      <w:r>
        <w:t xml:space="preserve"> it directly provides a </w:t>
      </w:r>
      <w:r>
        <w:rPr>
          <w:noProof/>
        </w:rPr>
        <w:t>basic</w:t>
      </w:r>
      <w:r>
        <w:t xml:space="preserve"> framework, which </w:t>
      </w:r>
      <w:r>
        <w:t>is related</w:t>
      </w:r>
      <w:r>
        <w:t xml:space="preserve"> to the policy-making area, which helps in the information area of the trade-</w:t>
      </w:r>
      <w:r>
        <w:t>off</w:t>
      </w:r>
      <w:r>
        <w:t xml:space="preserve">. 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b/>
        </w:rPr>
        <w:t>LUCI:</w:t>
      </w:r>
      <w:r>
        <w:t xml:space="preserve"> It is directly involved in the sect</w:t>
      </w:r>
      <w:r>
        <w:t>or of intuitive to the interpreter and the user. The concept can be also be related to the factor of the trade-offs margin (</w:t>
      </w:r>
      <w:r>
        <w:rPr>
          <w:shd w:val="clear" w:color="auto" w:fill="ffffff"/>
        </w:rPr>
        <w:t>Khudolii</w:t>
      </w:r>
      <w:r>
        <w:rPr>
          <w:shd w:val="clear" w:color="auto" w:fill="ffffff"/>
        </w:rPr>
        <w:t xml:space="preserve"> et al., 2016)</w:t>
      </w:r>
      <w:r>
        <w:t xml:space="preserve">. 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b/>
        </w:rPr>
        <w:t>SoLVES</w:t>
      </w:r>
      <w:r>
        <w:rPr>
          <w:b/>
        </w:rPr>
        <w:t>:</w:t>
      </w:r>
      <w:r>
        <w:t xml:space="preserve"> It directly creates a map, which </w:t>
      </w:r>
      <w:r>
        <w:t>is related</w:t>
      </w:r>
      <w:r>
        <w:t xml:space="preserve"> to the area of the </w:t>
      </w:r>
      <w:r>
        <w:rPr>
          <w:noProof/>
        </w:rPr>
        <w:t>creation</w:t>
      </w:r>
      <w:r>
        <w:t xml:space="preserve"> of social value, which is r</w:t>
      </w:r>
      <w:r>
        <w:t xml:space="preserve">elated to the factor of engagement of the criteria of policymaking and how it can be implemented. 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b/>
        </w:rPr>
        <w:t>WRAP:</w:t>
      </w:r>
      <w:r>
        <w:t xml:space="preserve"> It </w:t>
      </w:r>
      <w:r>
        <w:t>is us</w:t>
      </w:r>
      <w:bookmarkStart w:id="2" w:name="_GoBack"/>
      <w:bookmarkEnd w:id="2"/>
      <w:r>
        <w:t>ed</w:t>
      </w:r>
      <w:r>
        <w:t xml:space="preserve"> in the sector of development of a </w:t>
      </w:r>
      <w:r>
        <w:rPr>
          <w:noProof/>
        </w:rPr>
        <w:t>plan</w:t>
      </w:r>
      <w:r>
        <w:t xml:space="preserve"> of management by incorporation of data on the site (</w:t>
      </w:r>
      <w:r>
        <w:rPr>
          <w:shd w:val="clear" w:color="auto" w:fill="ffffff"/>
        </w:rPr>
        <w:t>Birkland</w:t>
      </w:r>
      <w:r>
        <w:rPr>
          <w:shd w:val="clear" w:color="auto" w:fill="ffffff"/>
        </w:rPr>
        <w:t>, 2015)</w:t>
      </w:r>
      <w:r>
        <w:t>. It directly reflects the policy,</w:t>
      </w:r>
      <w:r>
        <w:t xml:space="preserve"> which would be beneficial for the management area, which would be aiming at future development </w:t>
      </w:r>
      <w:r>
        <w:rPr>
          <w:noProof/>
        </w:rPr>
        <w:t>perspective</w:t>
      </w:r>
      <w:r>
        <w:t xml:space="preserve">. </w:t>
      </w:r>
    </w:p>
    <w:p>
      <w:pPr>
        <w:pStyle w:val="style0"/>
        <w:jc w:val="both"/>
        <w:rPr>
          <w:lang w:val="en-AU"/>
        </w:rPr>
      </w:pPr>
      <w:r>
        <w:br w:type="page"/>
      </w:r>
    </w:p>
    <w:bookmarkStart w:id="3" w:name="_Toc3826512"/>
    <w:p>
      <w:pPr>
        <w:pStyle w:val="style1"/>
        <w:jc w:val="both"/>
        <w:rPr/>
      </w:pPr>
      <w:r>
        <w:t>References</w:t>
      </w:r>
      <w:bookmarkEnd w:id="3"/>
    </w:p>
    <w:p>
      <w:pPr>
        <w:pStyle w:val="style0"/>
        <w:ind w:left="720" w:hanging="720"/>
        <w:jc w:val="both"/>
        <w:rPr>
          <w:shd w:val="clear" w:color="auto" w:fill="ffffff"/>
        </w:rPr>
      </w:pPr>
      <w:r>
        <w:rPr>
          <w:shd w:val="clear" w:color="auto" w:fill="ffffff"/>
        </w:rPr>
        <w:t>Birkland</w:t>
      </w:r>
      <w:r>
        <w:rPr>
          <w:shd w:val="clear" w:color="auto" w:fill="ffffff"/>
        </w:rPr>
        <w:t>, T.A., 2015. </w:t>
      </w:r>
      <w:r>
        <w:rPr>
          <w:shd w:val="clear" w:color="auto" w:fill="ffffff"/>
        </w:rPr>
        <w:t>An introduction to the policy process: Theories, concepts, and models of public policy making.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Routledge</w:t>
      </w:r>
      <w:r>
        <w:rPr>
          <w:shd w:val="clear" w:color="auto" w:fill="ffffff"/>
        </w:rPr>
        <w:t>.</w:t>
      </w:r>
    </w:p>
    <w:p>
      <w:pPr>
        <w:pStyle w:val="style0"/>
        <w:ind w:left="720" w:hanging="720"/>
        <w:jc w:val="both"/>
        <w:rPr>
          <w:b/>
        </w:rPr>
      </w:pPr>
      <w:r>
        <w:rPr>
          <w:shd w:val="clear" w:color="auto" w:fill="ffffff"/>
        </w:rPr>
        <w:t>Cairney</w:t>
      </w:r>
      <w:r>
        <w:rPr>
          <w:shd w:val="clear" w:color="auto" w:fill="ffffff"/>
        </w:rPr>
        <w:t>, P., 2016. </w:t>
      </w:r>
      <w:r>
        <w:rPr>
          <w:shd w:val="clear" w:color="auto" w:fill="ffffff"/>
        </w:rPr>
        <w:t xml:space="preserve">The politics of evidence-based </w:t>
      </w:r>
      <w:r>
        <w:rPr>
          <w:noProof/>
          <w:shd w:val="clear" w:color="auto" w:fill="ffffff"/>
        </w:rPr>
        <w:t>policy making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Springer.</w:t>
      </w:r>
    </w:p>
    <w:p>
      <w:pPr>
        <w:pStyle w:val="style0"/>
        <w:ind w:left="720" w:hanging="720"/>
        <w:jc w:val="both"/>
        <w:rPr>
          <w:shd w:val="clear" w:color="auto" w:fill="ffffff"/>
        </w:rPr>
      </w:pPr>
      <w:r>
        <w:rPr>
          <w:shd w:val="clear" w:color="auto" w:fill="ffffff"/>
        </w:rPr>
        <w:t>Gilbert, N. and Doran, J., 2018. </w:t>
      </w:r>
      <w:r>
        <w:rPr>
          <w:shd w:val="clear" w:color="auto" w:fill="ffffff"/>
        </w:rPr>
        <w:t xml:space="preserve">Simulating </w:t>
      </w:r>
      <w:r>
        <w:rPr>
          <w:noProof/>
          <w:shd w:val="clear" w:color="auto" w:fill="ffffff"/>
        </w:rPr>
        <w:t>societies</w:t>
      </w:r>
      <w:r>
        <w:rPr>
          <w:shd w:val="clear" w:color="auto" w:fill="ffffff"/>
        </w:rPr>
        <w:t>: the computer simulation of social phenomena.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Routledge</w:t>
      </w:r>
      <w:r>
        <w:rPr>
          <w:shd w:val="clear" w:color="auto" w:fill="ffffff"/>
        </w:rPr>
        <w:t>.</w:t>
      </w:r>
    </w:p>
    <w:p>
      <w:pPr>
        <w:pStyle w:val="style0"/>
        <w:ind w:left="720" w:hanging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Jiménez-Delgado, J.J., </w:t>
      </w:r>
      <w:r>
        <w:rPr>
          <w:shd w:val="clear" w:color="auto" w:fill="ffffff"/>
        </w:rPr>
        <w:t>Paulano-Godino</w:t>
      </w:r>
      <w:r>
        <w:rPr>
          <w:shd w:val="clear" w:color="auto" w:fill="ffffff"/>
        </w:rPr>
        <w:t xml:space="preserve">, F., </w:t>
      </w:r>
      <w:r>
        <w:rPr>
          <w:shd w:val="clear" w:color="auto" w:fill="ffffff"/>
        </w:rPr>
        <w:t>PulidoRam-Ramírez</w:t>
      </w:r>
      <w:r>
        <w:rPr>
          <w:shd w:val="clear" w:color="auto" w:fill="ffffff"/>
        </w:rPr>
        <w:t>, R. and J</w:t>
      </w:r>
      <w:r>
        <w:rPr>
          <w:shd w:val="clear" w:color="auto" w:fill="ffffff"/>
        </w:rPr>
        <w:t>iménez-Pérez, J.R., 2016.</w:t>
      </w:r>
      <w:r>
        <w:rPr>
          <w:shd w:val="clear" w:color="auto" w:fill="ffffff"/>
        </w:rPr>
        <w:t xml:space="preserve"> Computer assisted preoperative planning of bone fracture reduction: simulation techniques and new trends. </w:t>
      </w:r>
      <w:r>
        <w:rPr>
          <w:i/>
          <w:iCs/>
          <w:shd w:val="clear" w:color="auto" w:fill="ffffff"/>
        </w:rPr>
        <w:t>Medical image analysis</w:t>
      </w:r>
      <w:r>
        <w:rPr>
          <w:shd w:val="clear" w:color="auto" w:fill="ffffff"/>
        </w:rPr>
        <w:t>, </w:t>
      </w:r>
      <w:r>
        <w:rPr>
          <w:i/>
          <w:iCs/>
          <w:shd w:val="clear" w:color="auto" w:fill="ffffff"/>
        </w:rPr>
        <w:t>30</w:t>
      </w:r>
      <w:r>
        <w:rPr>
          <w:shd w:val="clear" w:color="auto" w:fill="ffffff"/>
        </w:rPr>
        <w:t>, pp.30-45.</w:t>
      </w:r>
    </w:p>
    <w:p>
      <w:pPr>
        <w:pStyle w:val="style0"/>
        <w:ind w:left="720" w:hanging="720"/>
        <w:jc w:val="both"/>
        <w:rPr>
          <w:shd w:val="clear" w:color="auto" w:fill="ffffff"/>
        </w:rPr>
      </w:pPr>
      <w:r>
        <w:rPr>
          <w:shd w:val="clear" w:color="auto" w:fill="ffffff"/>
        </w:rPr>
        <w:t>Khudolii</w:t>
      </w:r>
      <w:r>
        <w:rPr>
          <w:shd w:val="clear" w:color="auto" w:fill="ffffff"/>
        </w:rPr>
        <w:t xml:space="preserve">, O. M., </w:t>
      </w:r>
      <w:r>
        <w:rPr>
          <w:shd w:val="clear" w:color="auto" w:fill="ffffff"/>
        </w:rPr>
        <w:t>Ivashchenko</w:t>
      </w:r>
      <w:r>
        <w:rPr>
          <w:shd w:val="clear" w:color="auto" w:fill="ffffff"/>
        </w:rPr>
        <w:t xml:space="preserve">, O. V., </w:t>
      </w:r>
      <w:r>
        <w:rPr>
          <w:shd w:val="clear" w:color="auto" w:fill="ffffff"/>
        </w:rPr>
        <w:t>Iermakov</w:t>
      </w:r>
      <w:r>
        <w:rPr>
          <w:shd w:val="clear" w:color="auto" w:fill="ffffff"/>
        </w:rPr>
        <w:t>, S. S., &amp; Rumba, O. G. (2016).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Computer </w:t>
      </w:r>
      <w:r>
        <w:rPr>
          <w:shd w:val="clear" w:color="auto" w:fill="ffffff"/>
        </w:rPr>
        <w:t>simulation of junior gymnasts’ training process.</w:t>
      </w:r>
      <w:r>
        <w:rPr>
          <w:shd w:val="clear" w:color="auto" w:fill="ffffff"/>
        </w:rPr>
        <w:t> </w:t>
      </w:r>
      <w:r>
        <w:rPr>
          <w:i/>
          <w:iCs/>
          <w:shd w:val="clear" w:color="auto" w:fill="ffffff"/>
        </w:rPr>
        <w:t>Science of Gymnastics Journal</w:t>
      </w:r>
      <w:r>
        <w:rPr>
          <w:shd w:val="clear" w:color="auto" w:fill="ffffff"/>
        </w:rPr>
        <w:t>, </w:t>
      </w:r>
      <w:r>
        <w:rPr>
          <w:i/>
          <w:iCs/>
          <w:shd w:val="clear" w:color="auto" w:fill="ffffff"/>
        </w:rPr>
        <w:t>8</w:t>
      </w:r>
      <w:r>
        <w:rPr>
          <w:shd w:val="clear" w:color="auto" w:fill="ffffff"/>
        </w:rPr>
        <w:t>(3), 215-228.</w:t>
      </w:r>
    </w:p>
    <w:sectPr>
      <w:headerReference w:type="default" r:id="rId2"/>
      <w:headerReference w:type="first" r:id="rId3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3" behindDoc="false" locked="false" layoutInCell="false" allowOverlap="tru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097" name="Text Box 47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943600" cy="170815"/>
                      </a:xfrm>
                      <a:prstGeom prst="rect"/>
                    </wps:spPr>
                    <wps:txbx id="4097">
                      <w:txbxContent>
                        <w:p>
                          <w:pPr>
                            <w:pStyle w:val="style0"/>
                            <w:rPr>
                              <w:szCs w:val="24"/>
                            </w:rPr>
                          </w:pPr>
                        </w:p>
                        <w:p>
                          <w:pPr>
                            <w:pStyle w:val="style0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SIMULATION MODELING</w:t>
                          </w:r>
                        </w:p>
                        <w:p>
                          <w:pPr>
                            <w:pStyle w:val="style0"/>
                            <w:spacing w:after="0" w:lineRule="auto" w:line="240"/>
                            <w:jc w:val="right"/>
                            <w:rPr/>
                          </w:pPr>
                        </w:p>
                      </w:txbxContent>
                    </wps:txbx>
                    <wps:bodyPr lIns="91440" rIns="91440" tIns="0" bIns="0" vert="horz" anchor="ctr" wrap="square" upright="true">
                      <a:prstTxWarp prst="textNoShape"/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0.0pt;margin-top:0.0pt;width:468.0pt;height:13.45pt;z-index:3;mso-position-horizontal:left;mso-position-vertical:center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fill/>
              <v:textbox inset="7.2pt,0.0pt,7.2pt,0.0pt" style="mso-fit-shape-to-text:true;">
                <w:txbxContent>
                  <w:p>
                    <w:pPr>
                      <w:pStyle w:val="style0"/>
                      <w:rPr>
                        <w:szCs w:val="24"/>
                      </w:rPr>
                    </w:pPr>
                  </w:p>
                  <w:p>
                    <w:pPr>
                      <w:pStyle w:val="style0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SIMULATION MODELING</w:t>
                    </w:r>
                  </w:p>
                  <w:p>
                    <w:pPr>
                      <w:pStyle w:val="style0"/>
                      <w:spacing w:after="0" w:lineRule="auto" w:line="240"/>
                      <w:jc w:val="right"/>
                      <w:rPr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false" allowOverlap="tru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098" name="Text Box 476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914400" cy="170815"/>
                      </a:xfrm>
                      <a:prstGeom prst="rect"/>
                      <a:solidFill>
                        <a:srgbClr val="4f81bd"/>
                      </a:solidFill>
                    </wps:spPr>
                    <wps:txbx id="4098">
                      <w:txbxContent>
                        <w:p>
                          <w:pPr>
                            <w:pStyle w:val="style0"/>
                            <w:spacing w:after="0" w:lineRule="auto" w:line="240"/>
                            <w:rPr>
                              <w:color w:val="ffffff"/>
                              <w14:numForm xmlns:w14="http://schemas.microsoft.com/office/word/2010/wordml" w14:val="lining"/>
                            </w:rPr>
                          </w:pPr>
                          <w:r>
                            <w:rPr>
                              <w14:numForm xmlns:w14="http://schemas.microsoft.com/office/word/2010/wordml" w14:val="lining"/>
                            </w:rPr>
                            <w:fldChar w:fldCharType="begin"/>
                          </w:r>
                          <w:r>
                            <w:rPr>
                              <w14:numForm xmlns:w14="http://schemas.microsoft.com/office/word/2010/wordml"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xmlns:w14="http://schemas.microsoft.com/office/word/2010/wordml" w14:val="lining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14:numForm xmlns:w14="http://schemas.microsoft.com/office/word/2010/wordml" w14:val="lining"/>
                            </w:rPr>
                            <w:t>5</w:t>
                          </w:r>
                          <w:r>
                            <w:rPr>
                              <w:noProof/>
                              <w:color w:val="ffffff"/>
                              <w14:numForm xmlns:w14="http://schemas.microsoft.com/office/word/2010/wordml"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rIns="91440" tIns="0" bIns="0" vert="horz" anchor="ctr" wrap="square" upright="true">
                      <a:prstTxWarp prst="textNoShape"/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8" fillcolor="#4f81bd" stroked="f" style="position:absolute;margin-left:0.0pt;margin-top:0.0pt;width:72.0pt;height:13.45pt;z-index:2;mso-position-horizontal:right;mso-position-vertical:center;mso-position-horizontal-relative:page;mso-position-vertical-relative:top-margin-area;mso-width-percent:1000;mso-height-percent:0;mso-width-relative:right-margin-area;mso-height-relative:page;mso-wrap-distance-left:0.0pt;mso-wrap-distance-right:0.0pt;visibility:visible;v-text-anchor:middle;" o:allowincell="false"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>
                        <w:color w:val="ffffff"/>
                        <w14:numForm xmlns:w14="http://schemas.microsoft.com/office/word/2010/wordml" w14:val="lining"/>
                      </w:rPr>
                    </w:pPr>
                    <w:r>
                      <w:rPr>
                        <w14:numForm xmlns:w14="http://schemas.microsoft.com/office/word/2010/wordml" w14:val="lining"/>
                      </w:rPr>
                      <w:fldChar w:fldCharType="begin"/>
                    </w:r>
                    <w:r>
                      <w:rPr>
                        <w14:numForm xmlns:w14="http://schemas.microsoft.com/office/word/2010/wordml" w14:val="lining"/>
                      </w:rPr>
                      <w:instrText xml:space="preserve"> PAGE   \* MERGEFORMAT </w:instrText>
                    </w:r>
                    <w:r>
                      <w:rPr>
                        <w14:numForm xmlns:w14="http://schemas.microsoft.com/office/word/2010/wordml" w14:val="lining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14:numForm xmlns:w14="http://schemas.microsoft.com/office/word/2010/wordml" w14:val="lining"/>
                      </w:rPr>
                      <w:t>5</w:t>
                    </w:r>
                    <w:r>
                      <w:rPr>
                        <w:noProof/>
                        <w:color w:val="ffffff"/>
                        <w14:numForm xmlns:w14="http://schemas.microsoft.com/office/word/2010/wordml" w14:val="lining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>
        <w:szCs w:val="24"/>
      </w:rPr>
    </w:pPr>
    <w:r>
      <w:t xml:space="preserve">Running head: </w:t>
    </w:r>
    <w:r>
      <w:rPr>
        <w:szCs w:val="24"/>
      </w:rPr>
      <w:t>SIMULATION MODELING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AE6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35C3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032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480"/>
    </w:pPr>
    <w:rPr>
      <w:rFonts w:ascii="Times New Roman" w:hAnsi="Times New Roman"/>
      <w:sz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eastAsia="SimSun"/>
      <w:b/>
      <w:bCs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eastAsia="SimSun"/>
      <w:b/>
      <w:bCs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4a81968-44ee-43d9-864b-de8fcb9e77f5"/>
    <w:basedOn w:val="style65"/>
    <w:next w:val="style4097"/>
    <w:link w:val="style1"/>
    <w:uiPriority w:val="9"/>
    <w:rPr>
      <w:rFonts w:ascii="Times New Roman" w:cs="SimSun" w:eastAsia="SimSun" w:hAnsi="Times New Roman"/>
      <w:b/>
      <w:bCs/>
      <w:sz w:val="28"/>
      <w:szCs w:val="28"/>
    </w:rPr>
  </w:style>
  <w:style w:type="character" w:customStyle="1" w:styleId="style4098">
    <w:name w:val="Heading 2 Char_7d98ab2b-269d-481f-adec-cdca7554813b"/>
    <w:basedOn w:val="style65"/>
    <w:next w:val="style4098"/>
    <w:link w:val="style2"/>
    <w:uiPriority w:val="9"/>
    <w:rPr>
      <w:rFonts w:ascii="Times New Roman" w:cs="SimSun" w:eastAsia="SimSun" w:hAnsi="Times New Roman"/>
      <w:b/>
      <w:bCs/>
      <w:sz w:val="24"/>
      <w:szCs w:val="2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AU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c0942f04-81ed-4c0b-bb41-ba366ab93843"/>
    <w:basedOn w:val="style65"/>
    <w:next w:val="style4099"/>
    <w:link w:val="style31"/>
    <w:uiPriority w:val="99"/>
    <w:rPr>
      <w:rFonts w:ascii="Times New Roman" w:hAnsi="Times New Roman"/>
      <w:sz w:val="24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fa23ad1d-84b6-42cb-b667-93794f5d29b8"/>
    <w:basedOn w:val="style65"/>
    <w:next w:val="style4100"/>
    <w:link w:val="style32"/>
    <w:uiPriority w:val="99"/>
    <w:rPr>
      <w:rFonts w:ascii="Times New Roman" w:hAnsi="Times New Roman"/>
      <w:sz w:val="24"/>
    </w:rPr>
  </w:style>
  <w:style w:type="paragraph" w:styleId="style266">
    <w:name w:val="TOC Heading"/>
    <w:basedOn w:val="style1"/>
    <w:next w:val="style0"/>
    <w:qFormat/>
    <w:uiPriority w:val="39"/>
    <w:pPr>
      <w:spacing w:lineRule="auto" w:line="276"/>
      <w:outlineLvl w:val="9"/>
    </w:pPr>
    <w:rPr>
      <w:rFonts w:ascii="Cambria" w:hAnsi="Cambria"/>
      <w:color w:val="365f91"/>
      <w:lang w:eastAsia="ja-JP"/>
    </w:rPr>
  </w:style>
  <w:style w:type="paragraph" w:styleId="style19">
    <w:name w:val="toc 1"/>
    <w:basedOn w:val="style0"/>
    <w:next w:val="style0"/>
    <w:uiPriority w:val="39"/>
    <w:pPr>
      <w:spacing w:after="10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A7A4-CEBE-49C7-AAFA-426B5DDC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635</Words>
  <Pages>5</Pages>
  <Characters>3276</Characters>
  <Application>WPS Office</Application>
  <DocSecurity>0</DocSecurity>
  <Paragraphs>51</Paragraphs>
  <ScaleCrop>false</ScaleCrop>
  <LinksUpToDate>false</LinksUpToDate>
  <CharactersWithSpaces>3891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2019-03-19T07:00:40Z</dcterms:created>
  <dc:creator>user</dc:creator>
  <lastModifiedBy>SM-J600G</lastModifiedBy>
  <dcterms:modified xsi:type="dcterms:W3CDTF">2019-03-19T07:00:40Z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